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 – GenAI &amp; AI Engineering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Data Scientist specialising in machine learning and applied GenAI with a focus on production-grade system reliability and data-driven decision-making. Proven ability to translate complex datasets into actionable business outcomes and deploy scalable, tested AI solutions in cloud environments.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Technical Stack: </w:t>
      </w:r>
      <w:r>
        <w:t>Python, SQL, Docker, Kubernetes, CI/CD, pytest, Git</w:t>
      </w:r>
    </w:p>
    <w:p>
      <w:pPr>
        <w:spacing w:before="0" w:after="20"/>
      </w:pPr>
      <w:r>
        <w:rPr>
          <w:b/>
        </w:rPr>
        <w:t xml:space="preserve">Machine Learning &amp; GenAI: </w:t>
      </w:r>
      <w:r>
        <w:t>TensorFlow, Scikit-learn, Agentic Pipelines, LLM API Integration, Model Evaluation</w:t>
      </w:r>
    </w:p>
    <w:p>
      <w:pPr>
        <w:spacing w:before="0" w:after="20"/>
      </w:pPr>
      <w:r>
        <w:rPr>
          <w:b/>
        </w:rPr>
        <w:t xml:space="preserve">Data &amp; Analytics: </w:t>
      </w:r>
      <w:r>
        <w:t>Power BI, Pandas, NumPy, Advanced SQL (Window Functions, CTEs), Data Modelling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NHS England A&amp;E data to identify drivers of 4-hour target breaches, directly informing resource allocation strategies for hospital management.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Reduced reporting time for performance stakeholders by developing an interactive Chart.js dashboard that visualises compliance trends and 12-hour waiter spikes.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and CTEs to classify performance status, revealing that the 95% target was met in only 29% of periods.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using DenseNet-based CNNs on 2,700+ high-resolution images, achieving 98.84% accuracy—a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optimize model robustness, utilizing data augmentation to mitigate brightness variation and class imbalance.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