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Engineer with expertise in designing robust data ingestion pipelines and deploying production-grade AI solutions using Azure Databricks. Proven track record of optimizing Python-based data workflows and managing cloud infrastructure to ensure high availability and system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Engineering &amp; Cloud: </w:t>
      </w:r>
      <w:r>
        <w:t>Azure Databricks, Azure, SQL, Data Pipelines, ETL, CI/CD</w:t>
      </w:r>
    </w:p>
    <w:p>
      <w:pPr>
        <w:spacing w:before="0" w:after="20"/>
      </w:pPr>
      <w:r>
        <w:rPr>
          <w:b/>
        </w:rPr>
        <w:t xml:space="preserve">Languages &amp; Automation: </w:t>
      </w:r>
      <w:r>
        <w:t>Python, JavaScript, TypeScript, Automation</w:t>
      </w:r>
    </w:p>
    <w:p>
      <w:pPr>
        <w:spacing w:before="0" w:after="20"/>
      </w:pPr>
      <w:r>
        <w:rPr>
          <w:b/>
        </w:rPr>
        <w:t xml:space="preserve">AI &amp; Analytics: </w:t>
      </w:r>
      <w:r>
        <w:t>TensorFlow, Scikit-learn, Model Deployment,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complex data processing using advanced SQL window functions (LAG, AVG OVER) and CTEs to analyze 188 months of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Python to predict breach risk, achieving 0.90–0.95 ROC-AUC for data-driven decision support.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 data integration.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