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III - LeapSpace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applied NLP, generative AI, and retrieval-augmented generation (RAG) systems. Experienced in building and deploying agentic LLM pipelines featuring multi-model failover and automated evaluation frameworks for production-grade AI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Generative AI &amp; NLP: </w:t>
      </w:r>
      <w:r>
        <w:t>Generative AI, LLM-based applications, RAG pipelines, Agentic workflows, NLP, Prompt engineering</w:t>
      </w:r>
    </w:p>
    <w:p>
      <w:pPr>
        <w:spacing w:before="0" w:after="20"/>
      </w:pPr>
      <w:r>
        <w:rPr>
          <w:b/>
        </w:rPr>
        <w:t xml:space="preserve">Data Science &amp; Retrieval: </w:t>
      </w:r>
      <w:r>
        <w:t>Information retrieval, Search and retrieval architectures, Evaluation methodologies, Machine Learning, Python, SQL</w:t>
      </w:r>
    </w:p>
    <w:p>
      <w:pPr>
        <w:spacing w:before="0" w:after="20"/>
      </w:pPr>
      <w:r>
        <w:rPr>
          <w:b/>
        </w:rPr>
        <w:t xml:space="preserve">Engineering &amp; Visualization: </w:t>
      </w:r>
      <w:r>
        <w:t>PyTorch, Scikit-learn, Power BI, Tableau, Matplotlib, Seaborn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identifying key drivers behind 4-hour waiting time target failures.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and CTEs to analyze 188 months of performance data, revealing a 29% target compliance rate.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using DenseNet-based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robustness against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