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specialising in predictive modelling and agentic AI pipelines to optimise customer discovery and booking conversion in high-volume travel environments. Proven track record of deploying production-grade machine learning solutions that translate complex behavioural data into measurable commercial growth and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Predictive modelling, Classification, Model evaluation, Sensitivity analysis, A/B testing, Anomaly detection, Cross-validation</w:t>
      </w:r>
    </w:p>
    <w:p>
      <w:pPr>
        <w:spacing w:before="0" w:after="20"/>
      </w:pPr>
      <w:r>
        <w:rPr>
          <w:b/>
        </w:rPr>
        <w:t xml:space="preserve">Data Engineering &amp; Tools: </w:t>
      </w:r>
      <w:r>
        <w:t>Python, SQL, Pandas, Polars, Data pipelines, AWS, Oracle Cloud</w:t>
      </w:r>
    </w:p>
    <w:p>
      <w:pPr>
        <w:spacing w:before="0" w:after="20"/>
      </w:pPr>
      <w:r>
        <w:rPr>
          <w:b/>
        </w:rPr>
        <w:t xml:space="preserve">GenAI &amp; Development: </w:t>
      </w:r>
      <w:r>
        <w:t>LLM API integration, Agentic pipelines, Prompt engineering, Production deployment,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production-grade agentic LLM pipeline on Oracle Cloud, processing high-volume job data to automate candidate-role matching and increase application success rates by 20%.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sensitivity analysis on AI-generated content, iterating until achieving an 85% ATS match threshold to ensure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production-ready reliability features including multi-model failover, exponential-backoff retries, and 121 automated unit tests (pytest) to maintain 24/7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Pandas and Polars for high-speed data manipulation, enabling real-time scoring and ranking of 50+ job postings per run.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key drivers that contributed to a 15% reduction in forecast error for operational planning.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188 months of data, revealing a 51-month consecutive 'Crisis' status streak and quantifying the impact of capacity constraints on patient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commercial recommendations via an interactive dashboard, translating complex modelling outputs into clear, actionable insights that supported data-driven resource allocation.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 model evaluation, addressing class imbalance and brightness variation to ensure production-ready performance.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