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Engineer specializing in SRE principles, infrastructure automation, and anomaly detection for high-volume data pipelines. Experienced in designing self-healing systems and deploying production-grade ML models with rigorous SLI/SLO monitoring.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Engineering &amp; SRE: </w:t>
      </w:r>
      <w:r>
        <w:t>Anomaly detection, Incident prediction, Root cause analysis, SLIs/SLOs, Self-healing systems, Agentic pipelines, LLM API integration, Python, TensorFlow, Scikit-learn</w:t>
      </w:r>
    </w:p>
    <w:p>
      <w:pPr>
        <w:spacing w:before="0" w:after="20"/>
      </w:pPr>
      <w:r>
        <w:rPr>
          <w:b/>
        </w:rPr>
        <w:t xml:space="preserve">Cloud &amp; Infrastructure: </w:t>
      </w:r>
      <w:r>
        <w:t>Oracle Cloud, AWS, pytest, Next.js, Node.js, Web scraping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Pandas, NumPy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root cause analysis on 188 months of NHS performance data, utilizing advanced SQL window functions to classify system status and identify critical breach drivers.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anomaly detection and incident prediction, achieving 0.90–0.95 ROC-AUC to forecast monthly breach risk with high precision.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141x spikes in 12-hour wait times, providing actionable insights into operational bottlenecks for 71,517 patient records.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high-performance ML pipeline for anomaly detection using DenseNet-based CNNs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establishing a foundation for self-healing monitoring systems.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to optimize data quality for predictive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reporting workflows to surface KPIs and improve signal fidelity for stakeholder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