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ML Engineer - Scaling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Machine Learning Engineer specializing in scaling production-grade AI infrastructure, distributed training, and Transformer-based pipelines. Proven track record of deploying high-availability systems with automated quality-gate loops and optimizing model performance for large-scale inference.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 &amp; AI: </w:t>
      </w:r>
      <w:r>
        <w:t>Transformers, TensorFlow, PyTorch, JAX, CNNs, model evaluation, cross-validation</w:t>
      </w:r>
    </w:p>
    <w:p>
      <w:pPr>
        <w:spacing w:before="0" w:after="20"/>
      </w:pPr>
      <w:r>
        <w:rPr>
          <w:b/>
        </w:rPr>
        <w:t xml:space="preserve">Engineering &amp; Infrastructure: </w:t>
      </w:r>
      <w:r>
        <w:t>Python, ML pipelines, Distributed Training, MLOps, Docker, pytest, Oracle Cloud, AWS S3</w:t>
      </w:r>
    </w:p>
    <w:p>
      <w:pPr>
        <w:spacing w:before="0" w:after="20"/>
      </w:pPr>
      <w:r>
        <w:rPr>
          <w:b/>
        </w:rPr>
        <w:t xml:space="preserve">Data: </w:t>
      </w:r>
      <w:r>
        <w:t>SQL, Pandas, NumPy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AI-tailored content until clearing an 85% ATS match threshold, ensuring production-grade output quality.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scalable Python pipeline that scrapes ~50 job postings per run, integrating Google Gemini LLMs for automated ranking and multi-model failover.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a 24/7 production system on an Oracle Cloud VM, incorporating rate-limiting, exponential-backoff retries, and content-based deduplication for high-reliability inference.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Validated system integrity by authoring 121 automated unit tests using pytest, ensuring robust performance across the end-to-end pipeline.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Reduced API cost by 30% by implementing intelligent caching and optimized prompt-chaining strategies.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188 months of NHS performance data using advanced SQL window functions and CTEs to classify breach risk, identifying a 51-month consecutive 'Crisis' status.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Random Forest classifier with 0.90–0.95 ROC-AUC to predict monthly breach risk, utilizing rolling 3-month compliance history as a primary predictive feature.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 high-accuracy ML pipeline using DenseNet-based CNNs on 2,700+ high-resolution images, achieving 98.84% accuracy—a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Optimized model robustness against brightness variation and class imbalance by implementing Multi-Scale Retinex preprocessing and advanced data augmentation.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Reduced inference latency by 22% by implementing model quantization and optimized tensor operations for deployment on resource-constrained edge devices.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