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Hyperfinity team,</w:t>
      </w:r>
    </w:p>
    <w:p>
      <w:pPr>
        <w:spacing w:before="0" w:after="160" w:line="276" w:lineRule="auto"/>
      </w:pPr>
      <w:r>
        <w:rPr>
          <w:sz w:val="21"/>
        </w:rPr>
        <w:t>Hyperfinity’s mission to help retailers like Morrisons and Costa Coffee make data-driven pricing decisions is exactly the kind of real-world impact I want to contribute to as an AI Engineer Apprentice. I have spent the last year building and deploying agentic AI systems that solve complex problems, and I am eager to bring that same technical curiosity to your team.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uses Google Gemini LLMs to automate job application workflows. To ensure high-quality outputs, I engineered an agentic quality-gate loop that iterates on content until it hits an 85% ATS match threshold. This project required me to manage multi-model failover, rate-limiting, and 121 automated unit tests, all while maintaining a 24/7 deployment on Oracle Cloud. I believe this experience with building and testing AI features directly mirrors the responsibilities of the apprentice role at Hyperfinity.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data analysis, having analyzed 188 months of NHS performance data using SQL and Scikit-learn to identify critical operational trends. Whether I am experimenting with prompts or connecting disparate systems, I focus on building tools that are both reliable and actionable. I am particularly drawn to this apprenticeship because it offers the perfect balance of hands-on project work and structured learning, and I am ready to grow into a confident AI engineer within your ecosystem.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Python, SQL, and agentic AI can support your team’s goals.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