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July 2026</w:t>
      </w:r>
    </w:p>
    <w:p>
      <w:pPr>
        <w:spacing w:before="0" w:after="160" w:line="276" w:lineRule="auto"/>
      </w:pPr>
      <w:r>
        <w:rPr>
          <w:sz w:val="21"/>
        </w:rPr>
        <w:t>Dear Accenture team,</w:t>
      </w:r>
    </w:p>
    <w:p>
      <w:pPr>
        <w:spacing w:before="0" w:after="160" w:line="276" w:lineRule="auto"/>
      </w:pPr>
      <w:r>
        <w:rPr>
          <w:sz w:val="21"/>
        </w:rPr>
        <w:t>Your commitment to operationalizing AI at scale for enterprise clients resonates with my own experience in building production-ready agentic pipelines. As a recent MSc Computer Science graduate, I have focused on bridging the gap between theoretical machine learning and reliable, 24/7 deployed systems. I am particularly drawn to Accenture’s work in integrating custom models with cloud services to solve complex, real-world business problems.</w:t>
      </w:r>
    </w:p>
    <w:p>
      <w:pPr>
        <w:spacing w:before="0" w:after="160" w:line="276" w:lineRule="auto"/>
      </w:pPr>
      <w:r>
        <w:rPr>
          <w:sz w:val="21"/>
        </w:rPr>
        <w:t>In my recent work, I developed an end-to-end agentic LLM pipeline that manages the full lifecycle of job-application automation. By implementing multi-model failover, rate-limiting, and 121 automated unit tests, I ensured the system remained robust and production-ready. This project required not only technical proficiency in Python and Google Gemini APIs but also a focus on MLOps principles to maintain high-quality outputs. Similarly, my work on an NHS A&amp;E performance analysis project involved formulating complex, large-scale datasets into actionable insights, utilizing Random Forest classifiers to predict risk with high ROC-AUC scores.</w:t>
      </w:r>
    </w:p>
    <w:p>
      <w:pPr>
        <w:spacing w:before="0" w:after="160" w:line="276" w:lineRule="auto"/>
      </w:pPr>
      <w:r>
        <w:rPr>
          <w:sz w:val="21"/>
        </w:rPr>
        <w:t>My technical foundation is built on TensorFlow, SQL, and cloud-based deployment, which I have applied to solve problems ranging from wildfire detection—where I achieved 98.84% accuracy—to forensic data analytics in simulated consulting environments. I am comfortable communicating these technical concepts to stakeholders and am eager to apply this entrepreneurial mindset to the diverse challenges faced by your clients.</w:t>
      </w:r>
    </w:p>
    <w:p>
      <w:pPr>
        <w:spacing w:before="0" w:after="160" w:line="276" w:lineRule="auto"/>
      </w:pPr>
      <w:r>
        <w:rPr>
          <w:sz w:val="21"/>
        </w:rPr>
        <w:t>I would welcome the opportunity to discuss how my experience in designing scalable data pipelines and custom AI models can contribute to the innovative work being done at Accenture.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