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July 2026</w:t>
      </w:r>
    </w:p>
    <w:p>
      <w:pPr>
        <w:spacing w:before="0" w:after="160" w:line="276" w:lineRule="auto"/>
      </w:pPr>
      <w:r>
        <w:rPr>
          <w:sz w:val="21"/>
        </w:rPr>
        <w:t>Dear Hiring Team,</w:t>
      </w:r>
    </w:p>
    <w:p>
      <w:pPr>
        <w:spacing w:before="0" w:after="160" w:line="276" w:lineRule="auto"/>
      </w:pPr>
      <w:r>
        <w:rPr>
          <w:sz w:val="21"/>
        </w:rPr>
        <w:t>I am writing to apply for the Agentic AI Engineer role at Oscar. Having closely followed your transition to an agentic-first engineering model, I am drawn to your commitment to building infrastructure that allows autonomous systems to operate safely and effectively in production. My technical background is centered on the exact challenges you are solving: creating the guardrails, evaluation frameworks, and execution patterns necessary for reliable AI.</w:t>
      </w:r>
    </w:p>
    <w:p>
      <w:pPr>
        <w:spacing w:before="0" w:after="160" w:line="276" w:lineRule="auto"/>
      </w:pPr>
      <w:r>
        <w:rPr>
          <w:sz w:val="21"/>
        </w:rPr>
        <w:t>In my recent work, I designed and deployed a 24/7 agentic platform that manages complex, multi-step workflows. This system utilizes a custom quality-gate loop to ensure that every output meets strict performance thresholds before reaching production. By implementing multi-model failover and 121 automated unit tests, I have ensured that my autonomous systems remain stable even when dealing with the inherent non-determinism of LLMs. I am particularly interested in your focus on knowing when a deterministic workflow is the superior engineering choice; I have applied this same philosophy in my own projects, such as my NHS performance analysis, where I used deterministic SQL logic to provide the foundation for predictive ML models.</w:t>
      </w:r>
    </w:p>
    <w:p>
      <w:pPr>
        <w:spacing w:before="0" w:after="160" w:line="276" w:lineRule="auto"/>
      </w:pPr>
      <w:r>
        <w:rPr>
          <w:sz w:val="21"/>
        </w:rPr>
        <w:t>Beyond my project work, I have developed a strong foundation in RAG-based knowledge systems and cloud-native deployment on AWS and Oracle Cloud. I am eager to bring this experience to your team in Manchester to help shape the future of your AI-first operating model. I am confident that my ability to own the full lifecycle of production-grade AI systems aligns with the high standards of your engineering team.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look forward to the possibility of discussing how my technical skills and experience with autonomous systems can support Oscar’s mission.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