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04 July 2026</w:t>
      </w:r>
    </w:p>
    <w:p>
      <w:pPr>
        <w:spacing w:before="0" w:after="160" w:line="276" w:lineRule="auto"/>
      </w:pPr>
      <w:r>
        <w:rPr>
          <w:sz w:val="21"/>
        </w:rPr>
        <w:t>Dear Microsoft team,</w:t>
      </w:r>
    </w:p>
    <w:p>
      <w:pPr>
        <w:spacing w:before="0" w:after="160" w:line="276" w:lineRule="auto"/>
      </w:pPr>
      <w:r>
        <w:rPr>
          <w:sz w:val="21"/>
        </w:rPr>
        <w:t>Microsoft’s commitment to scaling responsible, agentic AI systems is what draws me to the Applied Science Intern role. Having recently completed my MSc in Computer Science with a Distinction, I have spent the last year moving beyond theoretical models to build production-ready systems that solve real-world data problems.</w:t>
      </w:r>
    </w:p>
    <w:p>
      <w:pPr>
        <w:spacing w:before="0" w:after="160" w:line="276" w:lineRule="auto"/>
      </w:pPr>
      <w:r>
        <w:rPr>
          <w:sz w:val="21"/>
        </w:rPr>
        <w:t>In my recent work, I engineered an end-to-end agentic LLM pipeline that utilizes Google Gemini to automate complex workflows. To ensure reliability, I implemented multi-model failover, exponential-backoff retries, and a quality-gate loop that iterates content until it meets an 85% ATS match threshold. This project, deployed 24/7 on Oracle Cloud, required the same rigor in testing and deployment that I know is central to Microsoft’s engineering culture. My experience with 121 automated unit tests and cloud-based infrastructure has prepared me to contribute immediately to your team’s research and development efforts.</w:t>
      </w:r>
    </w:p>
    <w:p>
      <w:pPr>
        <w:spacing w:before="0" w:after="160" w:line="276" w:lineRule="auto"/>
      </w:pPr>
      <w:r>
        <w:rPr>
          <w:sz w:val="21"/>
        </w:rPr>
        <w:t>Beyond GenAI, I have a strong foundation in predictive modelling and deep learning. For my MSc project, I built a DenseNet-based CNN for wildfire detection that achieved 98.84% accuracy—a 16% improvement over baseline architectures. I also applied Random Forest classifiers to NHS performance data, achieving a 0.90–0.95 ROC-AUC. These projects required not just model selection, but deep feature engineering and the ability to translate complex data into actionable insights using SQL and Python.</w:t>
      </w:r>
    </w:p>
    <w:p>
      <w:pPr>
        <w:spacing w:before="0" w:after="160" w:line="276" w:lineRule="auto"/>
      </w:pPr>
      <w:r>
        <w:rPr>
          <w:sz w:val="21"/>
        </w:rPr>
        <w:t>I am particularly excited about the opportunity to apply these skills within Microsoft’s environment, where the scale of data and the complexity of the problems are unmatched. I am confident that my technical background and my ability to build robust, end-to-end systems make me a strong fit for your team. I would welcome the chance to discuss how my background in agentic pipelines and deep learning can support your current initiatives.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