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with proven expertise in deploying ML models and delivering actionable insights, evidenced by a 98.84% accurate wildfire detection system and NHS performance analysis. Passionate about collaborating with cross-functional teams to solve complex business challenges through data-driven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scikit-learn, TensorFlow, Keras, CNNs, model evaluation, cross-validation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Python, SQL, exploratory data analysis, Power BI, Tableau, Pandas</w:t>
      </w:r>
    </w:p>
    <w:p>
      <w:pPr>
        <w:spacing w:before="0" w:after="20"/>
      </w:pPr>
      <w:r>
        <w:rPr>
          <w:b/>
        </w:rPr>
        <w:t xml:space="preserve">Engineering &amp; Cloud: </w:t>
      </w:r>
      <w:r>
        <w:t>AWS, Azure, Oracle Cloud, pytest, MLOps,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LLM pipeline that automates resume tailoring, incorporating a quality-gate loop that iterates until an 85% ATS match threshold is achieved.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Ensured production reliability by implementing multi-model failover, exponential-backoff retries, and 121 automated unit tests via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solution on Oracle Cloud VM with 24/7 monitoring, managing data flow from LinkedIn and Indeed scrapers.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and CTEs to classify performance status, revealing the NHS met its 95% target in only 29% of the 188-month period.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to predict monthly breach risk (0.90–0.95 ROC-AUC) by leveraging rolling 3-month compliance history and seasonality as predictive features.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deployed a DenseNet-based CNN pipeline for wildfire detection on 2,700+ high-resolution images, achieving 98.84% accuracy—a 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Optimised model performance using GridSearchCV, cross-validation, and Multi-Scale Retinex preprocessing to mitigate brightness variation and class imbalance.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model performance and technical findings to academic stakeholders using Matplotlib and Seaborn visualisations.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