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Associate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building and deploying production-grade machine learning and agentic AI systems. I bridge the gap between research and production by applying rigorous statistical analysis and robust engineering to solve complex, high-stakes problems.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Machine Learning, Feature engineering, Predictive modelling, Scikit-learn, TensorFlow, Model evaluation</w:t>
      </w:r>
    </w:p>
    <w:p>
      <w:pPr>
        <w:spacing w:before="0" w:after="20"/>
      </w:pPr>
      <w:r>
        <w:rPr>
          <w:b/>
        </w:rPr>
        <w:t xml:space="preserve">AI &amp; LLM Engineering: </w:t>
      </w:r>
      <w:r>
        <w:t>Agentic pipelines, LLM API integration, Prompt engineering, Multi-model failover, Google Gemini API</w:t>
      </w:r>
    </w:p>
    <w:p>
      <w:pPr>
        <w:spacing w:before="0" w:after="20"/>
      </w:pPr>
      <w:r>
        <w:rPr>
          <w:b/>
        </w:rPr>
        <w:t xml:space="preserve">Data Engineering &amp; Analytics: </w:t>
      </w:r>
      <w:r>
        <w:t>SQL, Python, Power BI, Pandas, NumPy,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clearing an 85% ATS match threshold, ensuring high-quality output for automated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Python pipeline using Google Gemini LLMs to score and rank ~50 job postings per run, automating complex decision-making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multi-model failover, exponential-backoff retries, and 121 automated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as a personal script on an Oracle Cloud VM to manage end-to-end service stability and automated document generation.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data using advanced SQL (window functions, CTEs) to identify drivers of the 4-hour target collapse, providing the evidence base for policy-level performance discussions.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monthly breach risk, enabling stakeholders to proactively identify 'Crisis' status months before they occur.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scale of service degradation by identifying a 141× increase in 12-hour wait times since 2019, directly informing the prioritization of resource allocation strategies.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building a DenseNet-based CNN pipeline on 2,700+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addressing class imbalance through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