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Junior AI Software Engineer with expertise in building agentic LLM pipelines and AI-assisted development workflows. Delivered a production-grade LLM automation platform featuring multi-model failover and 121 automated tests to ensure high-quality, spec-driven software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Software Engineering: </w:t>
      </w:r>
      <w:r>
        <w:t>AI-SDLC, LLM API integration, agentic pipelines, prompt engineering, pytest, CI/CD</w:t>
      </w:r>
    </w:p>
    <w:p>
      <w:pPr>
        <w:spacing w:before="0" w:after="20"/>
      </w:pPr>
      <w:r>
        <w:rPr>
          <w:b/>
        </w:rPr>
        <w:t xml:space="preserve">Languages &amp; Data: </w:t>
      </w:r>
      <w:r>
        <w:t>Python, SQL, JavaScript, TypeScript, Pandas, NumPy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Oracle Cloud, AWS, Vercel, REST APIs,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AI-generated engineering artefacts, iterating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scraping 50+ job postings per run, using Google Gemini LLMs to generate structured specifications and outreach content.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AI-SDLC practices including rate-limiting, exponential-backoff retries, and multi-model failover to ensure system resilience.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with pytest to validate logic accuracy and maintain traceability between requirements and implementation.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Oracle Cloud, utilizing a Next.js and Tailwind CSS dashboard to monitor thin-slice delivery and system performance.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 NHS performance data using advanced SQL window functions and CTEs to extract business logic and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breach risk, providing actionable insights for system-wide performance improvement.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visualize compliance metrics, enabling stakeholders to identify drivers behind 4-hour target breaches.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achieving 98.84% accuracy on 2,700+ images, delivering a +16% performance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alignment with academic engineering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modeling to surface KPIs for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documenting feature engineering processes for consistent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