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specializing in scientific knowledge extraction and semantic search, with a focus on building production-ready systems for complex, large-scale datasets. Delivered a SQL-driven NHS performance analysis and a high-accuracy deep learning pipeline, demonstrating expertise in model evaluation and robust data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Scikit-learn, TensorFlow, Deep Learning, Feature engineering, Model evaluation, CNNs, Knowledge graphs, Ontologies, Taxonomies</w:t>
      </w:r>
    </w:p>
    <w:p>
      <w:pPr>
        <w:spacing w:before="0" w:after="20"/>
      </w:pPr>
      <w:r>
        <w:rPr>
          <w:b/>
        </w:rPr>
        <w:t xml:space="preserve">GenAI &amp; NLP: </w:t>
      </w:r>
      <w:r>
        <w:t>Google Gemini API, LLM API integration, Semantic search, Entity extraction, Prompt engineering, Multi-model failover</w:t>
      </w:r>
    </w:p>
    <w:p>
      <w:pPr>
        <w:spacing w:before="0" w:after="20"/>
      </w:pPr>
      <w:r>
        <w:rPr>
          <w:b/>
        </w:rPr>
        <w:t xml:space="preserve">Data &amp; Engineering: </w:t>
      </w:r>
      <w:r>
        <w:t>Python, SQL, Pandas, NumPy, pytest, Model drift detection, Automated retraining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heterogeneous, longitudinal NHS performance data to identify drivers behind 4-hour waiting time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status, effectively structuring complex data for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with 0.90–0.95 ROC-AUC, incorporating rolling 3-month compliance history.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taxonomy of performance statuses to categorize 15+ years of data, enabling clear decision support and trend visualization.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on wildfire detection, outperforming baseline architectures by +16% through DenseNet CNNs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selection and ensure robust performance across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entity extraction techniques to classify wildfire features, contributing to a structured knowledge base for environmental monitoring.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ensuring an 85%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production-ready Python pipeline integrating Google Gemini LLMs to process and rank ~50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multi-model failover, rate-limiting, and exponential-backoff retries to ensure 24/7 uptime.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KPIs for decision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structured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