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Junior Computational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AI/ML Computational Scientist with a Distinction MSc and a track record of delivering production-ready agentic LLM pipelines and deep learning systems for complex business problems. Expert in consulting with stakeholders to translate technical requirements into scalable MLOps solutions that drive measurable business value.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Generative AI, LLM API integration, Deep Learning, Scikit-learn, CNNs (DenseNet)</w:t>
      </w:r>
    </w:p>
    <w:p>
      <w:pPr>
        <w:spacing w:before="0" w:after="20"/>
      </w:pPr>
      <w:r>
        <w:rPr>
          <w:b/>
        </w:rPr>
        <w:t xml:space="preserve">MLOps &amp; Engineering: </w:t>
      </w:r>
      <w:r>
        <w:t>Python, SQL, Docker, Kubeflow, MLflow, pytest, AWS S3, Oracle Cloud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Data pipelines,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Operationalized a production-ready agentic LLM pipeline, utilizing Docker for containerization and MLflow for experiment tracking to ensure enterprise-grade reproducibility.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business value by automating high-volume resume tailoring, reducing manual processing time while maintaining an 85% ATS match threshold through iterative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scalable MLOps architecture on Oracle Cloud, incorporating multi-model failover and automated monitoring to maintain 24/7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using pytest, ensuring robust performance and minimizing downtime for end-to-end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Formulated a Random Forest classifier to predict monthly breach risk (0.90–0.95 ROC-AUC), providing actionable insights for resource allocation and operational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window functions to process 188 months of data, translating raw performance metrics into clear business-value reports on target compliance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 high-performance CNN for wildfire detection, achieving 98.84% accuracy to solve critical environmental monitoring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deployment readiness by applying Multi-Scale Retinex preprocessing and GridSearchCV, ensuring the system could handle real-world data variability.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