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 / AI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specializing in the design and deployment of enterprise-grade AI solutions and agentic LLM pipelines. Proven track record in building secure, scalable AI workflows that integrate robust governance guardrails and cross-functional performance monitoring.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GenAI &amp; LLM Orchestration: </w:t>
      </w:r>
      <w:r>
        <w:t>Agentic pipelines, RAG architectures, Prompt engineering, Multi-model failover, AI governance guardrails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Python, API architecture, CI/CD, Oracle Cloud, AWS, Containerisation, pytest</w:t>
      </w:r>
    </w:p>
    <w:p>
      <w:pPr>
        <w:spacing w:before="0" w:after="20"/>
      </w:pPr>
      <w:r>
        <w:rPr>
          <w:b/>
        </w:rPr>
        <w:t xml:space="preserve">Governance &amp; Analytics: </w:t>
      </w:r>
      <w:r>
        <w:t>Performance analytics, SQL, Data modelling, Audit-ready documentation, Risk assessment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with cross-functional stakeholders to translate complex healthcare performance data into actionable insights, ensuring alignment with audit-ready reporting standards.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rigorous data governance by classifying performance metrics and identifying systemic risks within the NHS 4-hour target framework.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 Random Forest classifier (0.90–0.95 ROC-AUC) to predict breach risks, integrating predictive features into a secure, interactive dashboard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Utilised advanced SQL window functions and CTEs to maintain data integrity and auditability across 188 months of performance records.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integrated an agentic quality-gate loop that enforces strict output validation, ensuring AI-generated content meets an 85% ATS-match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production-grade pipeline with multi-model failover and rate-limiting, prioritising system security and reliable integration within cloud infrastructure.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121 automated unit tests using pytest to validate LLM responses, embedding security guardrails and content-based deduplication logic.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end-to-end ML pipeline achieving 98.84% accuracy, applying rigorous model evaluation and cross-validation frameworks.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performance metrics and Responsible AI considerations to ensure transparency and alignment with academic governance standards.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surfacing KPIs, ensuring data-driven insights were communicated clearly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best practices to support scalable business analysis.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