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Scientist with an MSc in Computer Science, specializing in predictive modeling, NLP, and agentic LLM pipelines for risk scoring and compliance. Proven ability to translate complex technical outcomes into actionable business insights for non-technical stakeholders while integrating ML models into production systems.</w:t>
      </w:r>
    </w:p>
    <w:p>
      <w:pPr>
        <w:keepNext/>
        <w:spacing w:before="200" w:after="40"/>
        <w:pBdr>
          <w:bottom w:val="single" w:sz="6" w:space="1" w:color="808080"/>
        </w:pBdr>
      </w:pPr>
      <w:r>
        <w:rPr>
          <w:b/>
          <w:sz w:val="22"/>
        </w:rPr>
        <w:t>CORE SKILLS</w:t>
      </w:r>
    </w:p>
    <w:p>
      <w:pPr>
        <w:spacing w:before="0" w:after="20"/>
      </w:pPr>
      <w:r>
        <w:rPr>
          <w:b/>
        </w:rPr>
        <w:t xml:space="preserve">Machine Learning &amp; AI: </w:t>
      </w:r>
      <w:r>
        <w:t>TensorFlow, PyTorch, Predictive modeling, NLP, LLM architectures, Scikit-learn</w:t>
      </w:r>
    </w:p>
    <w:p>
      <w:pPr>
        <w:spacing w:before="0" w:after="20"/>
      </w:pPr>
      <w:r>
        <w:rPr>
          <w:b/>
        </w:rPr>
        <w:t xml:space="preserve">Data &amp; Engineering: </w:t>
      </w:r>
      <w:r>
        <w:t>Python, SQL, Microsoft Fabric, Data modelling, ETL pipelines, Pandas</w:t>
      </w:r>
    </w:p>
    <w:p>
      <w:pPr>
        <w:spacing w:before="0" w:after="20"/>
      </w:pPr>
      <w:r>
        <w:rPr>
          <w:b/>
        </w:rPr>
        <w:t xml:space="preserve">Cloud &amp; Tools: </w:t>
      </w:r>
      <w:r>
        <w:t>AWS S3, Azure, Agile, pytest, Tableau, Power BI</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Deployed a production-grade LLM pipeline for automated compliance checks and text data insights, featuring multi-model failover and 121 automated pytest unit tests.</w:t>
      </w:r>
    </w:p>
    <w:p>
      <w:pPr>
        <w:pStyle w:val="ListBullet"/>
        <w:spacing w:before="0" w:after="40"/>
        <w:ind w:left="360"/>
      </w:pPr>
      <w:r/>
      <w:r>
        <w:rPr>
          <w:sz w:val="21"/>
        </w:rPr>
        <w:t>Integrated CI/CD pipelines and Dockerfiles within the repository to ensure production-ready code deployment and automated testing environments.</w:t>
      </w:r>
    </w:p>
    <w:p>
      <w:pPr>
        <w:pStyle w:val="ListBullet"/>
        <w:spacing w:before="0" w:after="40"/>
        <w:ind w:left="360"/>
      </w:pPr>
      <w:r/>
      <w:r>
        <w:rPr>
          <w:sz w:val="21"/>
        </w:rPr>
        <w:t>Implemented an agentic quality-gate loop that iterates AI-generated outputs until reaching an 85% match threshold, ensuring high-quality automated compliance.</w:t>
      </w:r>
    </w:p>
    <w:p>
      <w:pPr>
        <w:pStyle w:val="ListBullet"/>
        <w:spacing w:before="0" w:after="40"/>
        <w:ind w:left="360"/>
      </w:pPr>
      <w:r/>
      <w:r>
        <w:rPr>
          <w:sz w:val="21"/>
        </w:rPr>
        <w:t>Managed cloud infrastructure with foundational exposure to Azure and AWS S3, utilizing rate-limiting and exponential-backoff to ensure 24/7 system reliability.</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Developed a Random Forest predictive model for risk scoring and compliance prediction, achieving 0.90–0.95 ROC-AUC across 188 months of performance data.</w:t>
      </w:r>
    </w:p>
    <w:p>
      <w:pPr>
        <w:pStyle w:val="ListBullet"/>
        <w:spacing w:before="0" w:after="40"/>
        <w:ind w:left="360"/>
      </w:pPr>
      <w:r/>
      <w:r>
        <w:rPr>
          <w:sz w:val="21"/>
        </w:rPr>
        <w:t>Utilized Microsoft Fabric for end-to-end data ingestion, transformation, and feature engineering to streamline the analysis of 188 months of NHS performance data.</w:t>
      </w:r>
    </w:p>
    <w:p>
      <w:pPr>
        <w:pStyle w:val="ListBullet"/>
        <w:spacing w:before="0" w:after="40"/>
        <w:ind w:left="360"/>
      </w:pPr>
      <w:r/>
      <w:r>
        <w:rPr>
          <w:sz w:val="21"/>
        </w:rPr>
        <w:t>Presented findings to non-technical stakeholders through interactive dashboards, translating complex 4-hour target breach trends into clear business-impact narratives.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up to +16% over baseline architectures.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Applied GridSearchCV and cross-validation for robustness; visualised performance with Matplotlib/Seaborn and presented results to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