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focused on building scalable, high-impact AI architectures that solve complex real-world problems. Proven ability to collaborate in talent-dense environments to deliver robust, production-ready machine learning systems that drive measurable business value.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Docker, Kubernetes, gRPC, REST API, AWS, Oracle Cloud, Vercel, pytest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Agentic pipelines, LLM API integration, TensorFlow, DenseNet, Scikit-learn, OpenCV</w:t>
      </w:r>
    </w:p>
    <w:p>
      <w:pPr>
        <w:spacing w:before="0" w:after="20"/>
      </w:pPr>
      <w:r>
        <w:rPr>
          <w:b/>
        </w:rPr>
        <w:t xml:space="preserve">Data &amp; Development: </w:t>
      </w:r>
      <w:r>
        <w:t>TypeScript, Next.js, Pandas, NumPy,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