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building production-grade AI features, agentic workflows, and scalable data pipelines. Proven track record in developing complex SQL-driven analytics systems and deploying high-accuracy machine learning models within cloud-based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LLM Engineering: </w:t>
      </w:r>
      <w:r>
        <w:t>RAG pipelines, Agentic workflows, Tool calling, Vector databases, Embeddings, LLM API integration, Prompt engineering, Model evaluation</w:t>
      </w:r>
    </w:p>
    <w:p>
      <w:pPr>
        <w:spacing w:before="0" w:after="20"/>
      </w:pPr>
      <w:r>
        <w:rPr>
          <w:b/>
        </w:rPr>
        <w:t xml:space="preserve">Languages &amp; Engineering: </w:t>
      </w:r>
      <w:r>
        <w:t>Python, FastAPI, SQL, pytest, CI/CD, Web scraping</w:t>
      </w:r>
    </w:p>
    <w:p>
      <w:pPr>
        <w:spacing w:before="0" w:after="20"/>
      </w:pPr>
      <w:r>
        <w:rPr>
          <w:b/>
        </w:rPr>
        <w:t xml:space="preserve">Data &amp; Cloud: </w:t>
      </w:r>
      <w:r>
        <w:t>Pandas, NumPy, Scikit-learn, TensorFlow, Oracle Cloud, AWS S3,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