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with expertise in building production-grade recommender systems, ranking models, and agentic pipelines using TensorFlow, PyTorch, and XGBoost. Successfully deployed 24/7 ML infrastructure featuring multi-model failover and automated quality-gate loops, achieving 98.84% accuracy in high-stakes image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Recommender Systems: </w:t>
      </w:r>
      <w:r>
        <w:t>Recommender Systems, Ranking Models, Sequence-based Modelling, XGBoost, PyTorch, TensorFlow, Scikit-learn, CNNs (DenseNet)</w:t>
      </w:r>
    </w:p>
    <w:p>
      <w:pPr>
        <w:spacing w:before="0" w:after="20"/>
      </w:pPr>
      <w:r>
        <w:rPr>
          <w:b/>
        </w:rPr>
        <w:t xml:space="preserve">Engineering &amp; MLOps: </w:t>
      </w:r>
      <w:r>
        <w:t>Production Deployment, Distributed Computing, CI/CD, Containerisation, pytest, Python, SQL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Data Augmentation, Feature Engineering,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 to 20+ target matches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production-grade ML infrastructure on Oracle Cloud, incorporating multi-model failover, rate-limiting, and exponential-backoff retries to ensure 99.9%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~50 job postings per run, utilizing Google Gemini LLMs for automated ranking and scoring, mirroring production-grade ranking model logic.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maintainability within the production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a foundation in sequence-based modelling and outfit generation logic through the development of multi-stage LLM agentic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XGBoost-ready Random Forest classifier to predict monthly breach risk with 0.90–0.95 ROC-AUC, identifying rolling 3-month compliance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window functions and CTEs to analyze 188 months of performance data, surfacing trends that revealed 141× higher wait times compared to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distributed computing principles to process large-scale historical datasets, establishing a foundation for high-scale distributed training environments.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system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for production deployment by applying GridSearchCV, cross-validation, and Multi-Scale Retinex preprocessing, utilizing PyTorch-compatible data augmentation techniques.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