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(Gen AI)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specializing in agentic workflows, LLMs, and predictive analytics with hands-on experience architecting production-grade deployments. Proven ability to translate complex technical findings into actionable insights for non-technical stakeholders to drive enterprise-level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Agentic Workflows: </w:t>
      </w:r>
      <w:r>
        <w:t>agentic workflows, LLMs, RAG frameworks, Vector Databases (Pinecone/Milvus), LangGraph, prompt engineering, multi-model failover</w:t>
      </w:r>
    </w:p>
    <w:p>
      <w:pPr>
        <w:spacing w:before="0" w:after="20"/>
      </w:pPr>
      <w:r>
        <w:rPr>
          <w:b/>
        </w:rPr>
        <w:t xml:space="preserve">Data Science &amp; Engineering: </w:t>
      </w:r>
      <w:r>
        <w:t>predictive analytics, Python, SQL, TensorFlow, Scikit-learn, pytest, Oracle Cloud, AWS</w:t>
      </w:r>
    </w:p>
    <w:p>
      <w:pPr>
        <w:spacing w:before="0" w:after="20"/>
      </w:pPr>
      <w:r>
        <w:rPr>
          <w:b/>
        </w:rPr>
        <w:t xml:space="preserve">BI &amp; Stakeholder Reporting: </w:t>
      </w:r>
      <w:r>
        <w:t>Power BI, Tableau, data modelling, KPI visualization, client-facing reporting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complex SQL-driven performance metrics into clear, client-centric narratives for non-technical stakeholders, highlighting the drivers behind A&amp;E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the impact of a 51-month 'Crisis' streak by visualizing 188 months of data, enabling leadership to understand the correlation between operational bottlenecks and patient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predictive risk findings from a Random Forest classifier (0.90–0.95 ROC-AUC) to demonstrate how data-driven insights can inform resource allocation and policy adjustments.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robustness, presenting technical results to academic stakeholders to demonstrate real-world detection efficacy.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