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Machine Learning Engineer specialising in end-to-end productionisation, Python-based modelling, and algorithmic decision-making at scale. Proven track record of deploying resilient ML pipelines and predictive systems that translate ambiguous business objectives into measurable technical impact.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Python, TensorFlow, Keras, Scikit-learn, CNNs (DenseNet), Predictive Modelling, Model Evaluation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NumPy, Power BI, Feature Engineering, Data Analysis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AWS, Oracle Cloud, Azure, pytest, Web Scraping,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 to identify drivers of 4-hour target breaches, providing actionable insights for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with 0.90–0.95 ROC-AUC, enabling proactive operational planning.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complex SQL queries using window functions and CTEs to process 71,517 patient records, directly identifying the root causes of system-wide performance degradation.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CNNs, achieving 98.84% accuracy and outperforming baseline architectures by 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data augmentation and Multi-Scale Retinex preprocessing to mitigate class imbalance, ensuring model reliability in real-world deployment scenarios.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trends, facilitating improved business decision-making through visual data modelling.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to solve complex classification problems.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