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 and a strong foundation in statistical modelling, regression, and time series analysis. Proven ability to deliver high-impact predictive models and complex data pipelines to solve real-world performance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Statistics: </w:t>
      </w:r>
      <w:r>
        <w:t>Python, Statistical modelling, Regression, Time Series Analysis, Scikit-learn,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Pandas, NumPy,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DenseNet, OpenCV, GridSearchCV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breach risk, achieving 0.90–0.95 ROC-AUC using rolling 3-month compliance history and seasonality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Time Series Analysis on 188 months of NHS data to identify drivers of 4-hour target breaches, revealing a 51-month consecutive crisis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with window functions (LAG, AVG OVER) and CTEs to classify performance trends, identifying that the 95% target was met in only 29% of months.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DenseNet-based CNN for image classification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