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01 June 2026</w:t>
      </w:r>
    </w:p>
    <w:p>
      <w:pPr>
        <w:spacing w:before="0" w:after="160" w:line="276" w:lineRule="auto"/>
      </w:pPr>
      <w:r>
        <w:rPr>
          <w:sz w:val="21"/>
        </w:rPr>
        <w:t>Dear Midnite team,</w:t>
      </w:r>
    </w:p>
    <w:p>
      <w:pPr>
        <w:spacing w:before="0" w:after="160" w:line="276" w:lineRule="auto"/>
      </w:pPr>
      <w:r>
        <w:rPr>
          <w:sz w:val="21"/>
        </w:rPr>
        <w:t>I have been closely following Midnite’s journey in redefining the sports betting and gaming experience for over 400,000 players. Your focus on fast execution, high ownership, and constant iteration is exactly the kind of environment where I thrive. As a data specialist who loves turning ambiguous business questions into clear analytical frameworks, I am excited about the opportunity to join your team as a Senior Data Analyst and help drive smarter decisions around customer behavior, retention, and product performance.</w:t>
      </w:r>
    </w:p>
    <w:p>
      <w:pPr>
        <w:spacing w:before="0" w:after="160" w:line="276" w:lineRule="auto"/>
      </w:pPr>
      <w:r>
        <w:rPr>
          <w:sz w:val="21"/>
        </w:rPr>
        <w:t>In my previous projects, I have focused heavily on building robust data pipelines and translating complex datasets into actionable insights. For instance, I engineered an end-to-end machine learning pipeline using TensorFlow and Keras on 2,700+ high-resolution images, achieving a 98.84% accuracy rate through rigorous exploratory data analysis and preprocessing. Additionally, I have built interactive Power BI and Tableau dashboards utilizing DAX and advanced data modeling to surface key performance indicators and region-based trends. These experiences have taught me how to partner closely with stakeholders and present analytical findings clearly to both technical and non-technical audiences.</w:t>
      </w:r>
    </w:p>
    <w:p>
      <w:pPr>
        <w:spacing w:before="0" w:after="160" w:line="276" w:lineRule="auto"/>
      </w:pPr>
      <w:r>
        <w:rPr>
          <w:sz w:val="21"/>
        </w:rPr>
        <w:t>I would welcome the opportunity to discuss how my SQL and Python expertise, combined with my passion for customer lifecycle analysis, can support your Growth, Product, and Trading teams. Let's schedule a time to talk about how we can optimize player retention and uncover new commercial opportunities as Midnite continues to scale.</w:t>
      </w:r>
    </w:p>
    <w:p>
      <w:pPr>
        <w:spacing w:before="0" w:after="160" w:line="276" w:lineRule="auto"/>
      </w:pPr>
      <w:r>
        <w:rPr>
          <w:sz w:val="21"/>
        </w:rPr>
        <w:t>Sincerely, 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