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01 June 2026</w:t>
      </w:r>
    </w:p>
    <w:p>
      <w:pPr>
        <w:spacing w:before="0" w:after="160" w:line="276" w:lineRule="auto"/>
      </w:pPr>
      <w:r>
        <w:rPr>
          <w:sz w:val="21"/>
        </w:rPr>
        <w:t>Dear ADLIB Recruitment team,</w:t>
      </w:r>
    </w:p>
    <w:p>
      <w:pPr>
        <w:spacing w:before="0" w:after="160" w:line="276" w:lineRule="auto"/>
      </w:pPr>
      <w:r>
        <w:rPr>
          <w:sz w:val="21"/>
        </w:rPr>
        <w:t>I am incredibly excited to apply for the Applied Data Scientist position. Your focus on business-led data science with real-world commercial impact—rather than purely academic research—perfectly aligns with my approach to building data systems. Having recently completed my MSc in Computer Science with Distinction, I have focused my work on creating practical, end-to-end Python and SQL solutions that turn complex datasets into actionable business decisions. I am eager to bring this applied mindset to your remote-first team and contribute to your ongoing projects during the monthly collaboration trips to Bristol.</w:t>
      </w:r>
    </w:p>
    <w:p>
      <w:pPr>
        <w:spacing w:before="0" w:after="160" w:line="276" w:lineRule="auto"/>
      </w:pPr>
      <w:r>
        <w:rPr>
          <w:sz w:val="21"/>
        </w:rPr>
        <w:t>My technical background is deeply rooted in delivering scalable, production-grade systems. For instance, I engineered an end-to-end Python pipeline that automates data extraction and utilizes LLM-driven solutions to score and rank unstructured data, incorporating an agentic quality-gate loop to ensure high-quality outputs. Additionally, I led the development of a wildfire detection system using DenseNet-based CNNs, achieving a 98.84% classification accuracy on over 2,700 high-resolution images. In both projects, I focused on translating complex data science metrics into clear, visual insights for stakeholder engagement, ensuring that the technical solutions directly supported strategic goals.</w:t>
      </w:r>
    </w:p>
    <w:p>
      <w:pPr>
        <w:spacing w:before="0" w:after="160" w:line="276" w:lineRule="auto"/>
      </w:pPr>
      <w:r>
        <w:rPr>
          <w:sz w:val="21"/>
        </w:rPr>
        <w:t>I would welcome the opportunity to discuss how my experience with Python, SQL, and LLM integrations can support your operational environment.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