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Lorien. With an MSc in Computer Science and a focus on building production-grade agentic LLM systems, I am eager to contribute to your team’s mission of scaling AI across global business processes. My approach to AI is rooted in the 'hands-on operator' mindset—I prioritize building systems that are not only intelligent but also observable, maintainable, and ready for real-world deployment.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agentic pipeline that utilizes LangChain and LangGraph to automate complex, multi-step reasoning tasks. By implementing quality-gate loops and rigorous unit testing, I ensured that the system consistently met high performance thresholds, a skill set I am ready to apply to your B2B AI products. I am deeply familiar with the challenges of production LLM deployment, including managing latency and cost trade-offs, and I have experience integrating these systems into cloud-based architectures like AWS and Oracle Cloud.</w:t>
      </w:r>
    </w:p>
    <w:p>
      <w:pPr>
        <w:spacing w:before="0" w:after="160" w:line="276" w:lineRule="auto"/>
      </w:pPr>
      <w:r>
        <w:rPr>
          <w:sz w:val="21"/>
        </w:rPr>
        <w:t>Beyond my work with LLMs, I have a strong foundation in classification and forecasting, demonstrated by my analysis of 188 months of NHS performance data and my development of a wildfire detection system that achieved 98.84% accuracy. These projects required me to own the entire lifecycle—from data exploration and feature engineering to model deployment and iteration. I thrive in fast-moving environments where the goal is to deliver measurable business impact through robust, scalable code.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of your emphasis on building real-world AI systems that move beyond the prototype stage. I am confident that my technical background in Python, SQL, and orchestration frameworks, combined with my commitment to end-to-end ownership, makes me a strong fit for your team.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