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June 2026</w:t>
      </w:r>
    </w:p>
    <w:p>
      <w:pPr>
        <w:spacing w:before="0" w:after="160" w:line="276" w:lineRule="auto"/>
      </w:pPr>
      <w:r>
        <w:rPr>
          <w:sz w:val="21"/>
        </w:rPr>
        <w:t>I am writing to apply for the AI Engineer role at SCC. As an AI practitioner with an MSc in Computer Science, I have spent my recent projects focusing on the exact challenge SCC is tackling: moving AI from a demo environment into reliable, production-ready systems. My work on agentic LLM pipelines and RAG systems has been defined by a commitment to rigorous testing and secure integration.</w:t>
      </w:r>
    </w:p>
    <w:p>
      <w:pPr>
        <w:spacing w:before="0" w:after="160" w:line="276" w:lineRule="auto"/>
      </w:pPr>
      <w:r>
        <w:rPr>
          <w:sz w:val="21"/>
        </w:rPr>
        <w:t>In my recent project, I built a 24/7 agentic pipeline that handles multi-model failover and automated quality-gate loops. This system processes 50+ job postings per run and iterates until it meets an 85% ATS match threshold. I have integrated these systems with REST APIs and managed secure credential workflows, ensuring that the AI components are not just functional, but enterprise-ready. I am well-versed in the technical requirements of this role, including the development of MCP-style tool integrations and the application of AI governance frameworks to ensure transparency and traceability in model outputs.</w:t>
      </w:r>
    </w:p>
    <w:p>
      <w:pPr>
        <w:spacing w:before="0" w:after="160" w:line="276" w:lineRule="auto"/>
      </w:pPr>
      <w:r>
        <w:rPr>
          <w:sz w:val="21"/>
        </w:rPr>
        <w:t>Beyond the technical build, I understand the importance of aligning AI solutions with business outcomes. My analysis of NHS A&amp;E performance data involved complex SQL modeling and predictive classification, where I identified a 141x increase in 12-hour wait times. This project required translating raw data into clear, actionable insights for stakeholders, a skill I am eager to apply at SCC. I am comfortable working in high-security environments and am fully prepared to meet the security clearance requirements for this position.</w:t>
      </w:r>
    </w:p>
    <w:p>
      <w:pPr>
        <w:spacing w:before="0" w:after="160" w:line="276" w:lineRule="auto"/>
      </w:pPr>
      <w:r>
        <w:rPr>
          <w:sz w:val="21"/>
        </w:rPr>
        <w:t>I am drawn to SCC because of your reputation as Europe’s largest privately-owned IT company and your focus on simplifying complex IT transformations. I am confident that my background in Python, agentic architecture, and robust system documentation makes me a strong fit for your team in Birmingham. I am available for an interview at your convenience and look forward to the possibility of contributing to your ongoing AI initiatives.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