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UKRI. Having recently completed an MSc in Computer Science with a focus on applied GenAI, I have spent the last year building and deploying production-ready machine learning systems. My work is defined by a commitment to the full machine learning lifecycle, from initial data preparation to live deployment and ongoing optimisation.</w:t>
      </w:r>
    </w:p>
    <w:p>
      <w:pPr>
        <w:spacing w:before="0" w:after="160" w:line="276" w:lineRule="auto"/>
      </w:pPr>
      <w:r>
        <w:rPr>
          <w:sz w:val="21"/>
        </w:rPr>
        <w:t>In my recent projects, I developed an agentic LLM pipeline that incorporates Retrieval-Augmented Generation (RAG) to automate complex workflows, ensuring high-quality, production-ready outputs. I have also worked extensively with large datasets, such as the 188 months of NHS A&amp;E performance data I analysed to identify critical breach drivers. My technical toolkit includes Python, TensorFlow, and cloud platforms like AWS and Oracle Cloud, which I have used to build robust data pipelines and deploy models that run 24/7.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UKRI’s focus on scaling AI initiatives and delivering measurable, real-world outcomes. My experience in building systems with 121 automated unit tests and achieving 98.84% accuracy in deep learning models demonstrates my ability to move beyond experimentation into reliable, scalable production. I am comfortable working in Agile environments and engaging with stakeholders to translate complex technical findings into clear, actionable insights.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technical skills and delivery-focused mindset to the Data Delivery Group and contribute to the expansion of AI-driven capabilities across UKRI.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