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a strong foundation in building and deploying production-ready agentic AI systems. Expert in designing LLM pipelines featuring multi-model failover, agentic quality-gate loops, and robust automated testing frameworks. Proven track record of delivering high-accuracy ML models and SQL-driven analytics within complex, regulated environments like the NHS. Committed to engineering resilient, scalable AI workflows that prioritize operational safety and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Next.js, Node.js, web scraping, OpenCV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frameworks  ·  production-ready AI  ·  LLM pipeline orchestration  ·  automated unit testing  ·  predictive modelling  ·  data augmentation  ·  feature engineering  ·  SQL window functions  ·  system resilience  ·  AI service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188 months of NHS A&amp;E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in agentic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agentic AI pipeline that scrapes ~50 job postings per run, utilizing Google Gemini LLMs to score and auto-tailor applications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they clear an 85% ATS match threshold, ensuring high-quality,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safeguards including rate-limiting, exponential-backoff retries, and multi-model failover to maintain system resilience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maintainability of the agentic workflow.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as a 24/7 service on an Oracle Cloud VM, featuring a responsive Next.js dashboard for monitoring AI-driven outcomes.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classify operational status and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with Scikit-learn to predict monthly breach risk, achieving 0.90–0.95 ROC-AUC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performance trends, revealing that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address brightness variation and class imbalance in the training dataset.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using GridSearchCV and cross-validation, presenting findings to academic stakeholders to demonstrate practical AI implementation.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