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(Distinction) specializing in production-grade agentic LLM workflows and multi-step reasoning systems. Expert in deploying scalable AI solutions using LangChain/LangGraph, RAG, and MCP patterns to optimize latency and cost trade-offs. Proven track record of delivering end-to-end B2B-style automation, including a 24/7 production pipeline with 121 automated tests, achieving a 98.84% accuracy rate in high-stakes classification tasks.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GenAI &amp; LLMs: </w:t>
      </w:r>
      <w:r>
        <w:t>LangChain, LangGraph, MCP (Model Context Protocol), Agentic workflows, RAG, Multi-step reasoning, LLM latency/cost optimization, Google Gemini API</w:t>
      </w:r>
    </w:p>
    <w:p>
      <w:pPr>
        <w:spacing w:before="0" w:after="20"/>
      </w:pPr>
      <w:r>
        <w:rPr>
          <w:b/>
        </w:rPr>
        <w:t xml:space="preserve">Machine Learning: </w:t>
      </w:r>
      <w:r>
        <w:t>Classification, Forecasting, TensorFlow, Keras, Scikit-learn, CNNs (DenseNet), Random Forest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FastAPI, pytest, Next.js, OpenCV, Web scraping,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workflows  ·  LangChain/LangGraph orchestration  ·  production deployment  ·  multi-step reasoning  ·  RAG systems  ·  MCP integration  ·  LLM latency/cost optimization  ·  predictive modelling  ·  automated unit testing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A&amp;E data, identifying a 51-month consecutive Crisis-status streak.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agentic LLM pipeline on Oracle Cloud with 121 automated unit tests.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using LangChain/LangGraph orchestration to scrape ~50 job postings per run and execute multi-step reasoning for ATS-optimized content generation.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until clearing an 85% ATS match threshold, optimizing for high-growth B2B SaaS application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reliability, including multi-model failover and latency/cost optimization trade-offs to ensure scalable, 24/7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MCP-style patterns for tool orchestration and delivered a robust system with 121 automated unit tests (pytest), deployed on an Oracle Cloud VM.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performance data to build a classification and forecasting system for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status,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(0.90–0.95 ROC-AUC), identifying rolling 3-month compliance history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12-hour waiter spikes reaching 71,517 patients in January 2026—141× the March 2019 level—via an interactive Chart.js dashboard.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 to ensure production-ready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model selection, presenting results to academic stakeholders to demonstrate system reliability.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