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a focus on machine learning, AI, and healthcare analytics. Expert in building production-grade LLM pipelines, agentic workflows, and predictive models using Python, SQL, and TensorFlow. Proven track record of deploying scalable cloud solutions on AWS and Oracle Cloud to solve complex, real-world data challenges. Successfully delivered high-impact healthcare analytics projects, including NHS performance modeling and wildfire detection systems with 98.84%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Power BI, Tableau, Pandas, NumPy, Data modelling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TensorFlow, Scikit-learn, CNNs, Predictive modelling, Cross-validation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Azure, Oracle Cloud, Snowflake, Vector search</w:t>
      </w:r>
    </w:p>
    <w:p>
      <w:pPr>
        <w:spacing w:before="0" w:after="20"/>
      </w:pPr>
      <w:r>
        <w:rPr>
          <w:b/>
        </w:rPr>
        <w:t xml:space="preserve">Tools &amp; Methods: </w:t>
      </w:r>
      <w:r>
        <w:t>GenAI, LLM API integration, Prompt engineering, RAG architectures, pytest, Agentic pipelines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modelling  ·  LLM API integration  ·  RAG architectures  ·  prompt engineering  ·  data modelling  ·  agentic pipelines  ·  cloud infrastructure  ·  statistical analysis  ·  data visualization  ·  production deployment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A&amp;E data, identifying a 51-month crisis streak and 141x increase in 12+ hour wait times.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with 121 automated tests, maintaining an 85% ATS match threshold for job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breach risk with 0.90–0.95 ROC-AUC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end-to-end Python pipeline utilizing LLM APIs to score and auto-tailor content, incorporating RAG architectures for context-aware document generation.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prompt engineering outputs to ensure an 85% ATS match threshold before final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production-grade application on Oracle Cloud with multi-model failover and 121 automated unit tests using pytest to ensure long-term maintainability.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data extraction from LinkedIn and Indeed, normalizing unstructured job data into structured formats for automated analytical workflows.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England A&amp;E performance data using advanced SQL window functions and CTEs to build robust data models for breach risk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achieving 0.90–0.95 ROC-AUC, identifying seasonality and rolling compliance history as key predictive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 and Chart.js dashboard surfacing KPIs and 12-hour waiter spikes to support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Quantified the collapse of the 4-hour target, revealing that the NHS met its 95% target in only 55 of 188 months (29% of the time).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production-ready ML pipeline for image classification on 2,700+ high-resolution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reliability and ensure performance consistency across diverse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Preprocessed complex image data using Multi-Scale Retinex and data augmentation to address brightness variation and class imbalance.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