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Scientist with a Distinction-level MSc in Computer Science and a proven track record of building production-grade data pipelines and machine learning models. Expert in Python, SQL, and cloud-based deployment, with hands-on experience engineering agentic LLM pipelines and high-accuracy predictive systems. Demonstrated ability to solve complex problems from first principles, evidenced by a 98.84% accuracy wildfire detection model and an NHS performance analytics system. Committed to driving product-led growth through rigorous data modeling, scalable reporting engines, and the strategic integration of AI.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Excel, data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predictive modelling,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AWS, Azure, Snowflake, data pipelines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React, Node.js,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pipelines  ·  predictive modelling  ·  data modelling  ·  reporting engines  ·  forecasting tools  ·  AI integration  ·  unit testing  ·  data validation  ·  performance tracking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an 85% ATS-match quality gate.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data, identifying a 51-month 'Crisis' streak and 141x increase in 12-hour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with 0.90–0.95 ROC-AUC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50+ job postings per run using automated scraping and LLM-driven scoring.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improved data pipelines to scrape ~50 job postings per run across LinkedIn and Indeed, utilizing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to ensure an 85% ATS match threshold, ensuring data correctness and scalability.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internal data products including a responsive Next.js dashboard, integrating multi-model failover and rate-limiting for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data processing logic and ensure system robustness.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Supported platform-wide decision-making by analyzing 188 months of NHS England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monthly breach risk, achieving 0.90–0.95 ROC-AUC to provide an analytical backbone for performance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reporting engine surfacing 6 live KPIs, including seasonality heatmaps and 12-hour waiter spikes.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high-accuracy predictive model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Multi-Scale Retinex preprocessing and rigorous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AI to uncover insights from complex image datasets, addressing brightness variation and class imbalance to ensure model reliability.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