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an MSc in Computer Science, specializing in designing and deploying production-ready agentic LLM pipelines and RAG systems. Proficient in Python, REST API development, and integrating foundation models with enterprise-grade security and OAuth credential management. Proven track record of delivering reliable AI solutions, including a 24/7 agentic pipeline with multi-model failover and 121 automated tests, achieving a 98.84% accuracy rate in high-stakes classification tasks.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System Design: </w:t>
      </w:r>
      <w:r>
        <w:t>Agentic pipelines, RAG, Model Context Protocol (MCP) server development, Foundation models, Prompt engineering, LLM API integration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REST API, Microservices, OAuth/Credential management, Oracle Cloud, AWS S3, Azure, Vercel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Data modelling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Git, Cross-validation, Automated unit testing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Model Context Protocol (MCP) server development  ·  EU AI Act &amp; AI governance frameworks  ·  High-security environment protocols  ·  Enterprise OAuth &amp; credential management  ·  Retrieval-Augmented Generation (RAG) design  ·  Agentic workflow orchestration  ·  Foundation model API integration  ·  Prompt engineering frameworks  ·  REST API development  ·  AI system 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24/7 agentic LLM pipeline featuring multi-model failover and 121 automated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141× increase in 12-hour A&amp;E wait times using advanced SQL window functions.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for monthly breach risk prediction.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Programmatically generated ATS-optimised documentation for 50+ job applications per run.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to score, rank, and auto-tailor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outputs until achieving an 85% ATS match threshold, ensuring reliable and auditable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Model Context Protocol (MCP) concepts to standardize tool routing and data retrieval within the agentic workflow.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enterprise-grade security including OAuth and credential management for secure API integration with external platforms.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121 automated unit tests (pytest) to ensure system uptime.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microservice on an Oracle Cloud VM, adhering to high-security environment standards for data handling.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drivers behind the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 and CTEs to classify performance,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months, with January 2026 recording 71,517 patients waiting 12+ hours — 141×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(0.90–0.95 ROC-AUC), incorporating AI governance principles to ensure transparent and traceable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with 6 live charts, ensuring all data visualizations met internal transparency and reporting standards.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robustness, ensuring compliance with academic AI governance and documentation frameworks.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results to stakeholders, emphasizing model reliability and failure mode analysis.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