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FTC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delivering robust analytical solutions. Expert in Python, SQL, and Azure-based data workflows, with hands-on experience in machine learning model development and complex data validation. Successfully engineered agentic pipelines and predictive models that directly informed decision-making processes. Committed to responsible AI practices and delivering reproducible, scalable analytical products that support regulatory and operational objectives.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SQL, Power BI, Tableau, Data modelling, Data visualisation, Feature engineering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Predictive modelling, Model evaluation, Cross-validation, TensorFlow, Scikit-learn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 S3, Snowflake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pytest, Git, Data ethics, Responsible AI, User-centred design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data science lifecycle  ·  reproducible analysis  ·  model explainability  ·  data quality assessment  ·  statistical methods  ·  analytical solutions  ·  data-driven decision-making  ·  agile delivery  ·  responsible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drivers of NHS 4-hour target breaches using advanced SQL, revealing a 29% compliance rate over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to ensure production-grade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complex NHS performance data to predict breach risk with 0.90–0.95 ROC-AUC.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an end-to-end Python pipeline that scrapes ~50 job postings per run, applying automated data cleaning and feature engineering to score and rank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outputs until clearing an 85% ATS match threshold, ensuring robust and reproducible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including rate-limiting, multi-model failover, and content-based deduplication to ensure scalable and maintainable analytical services.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ensure adherence to high-quality software engineering standards.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complex, inconsistent NHS England A&amp;E performance data (Aug 2010 – Mar 2026) to provide evidence-based insights into 4-hour waiting time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perform rigorous data quality assessments,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providing clear model explainability regarding the impact of seasonality and compliance history.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communicate findings to non-technical stakeholders, supporting data-driven decision-making through visualisations of 12-hour waiter spikes and status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deep learning pipeline for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responsible data preprocessing techniques, including Multi-Scale Retinex and data augmentation, to mitigate bias from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performance using GridSearchCV and cross-validation, ensuring the solution was robust and statistically sound before presenting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