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delivering robust analytical solutions that inform decision-making. Expert in Python, SQL, and machine learning techniques, with hands-on experience managing complex, messy datasets to drive evidence-based outcomes. Successfully deployed production-grade models and interactive visualisations that translate technical insights for non-technical stakeholders. Committed to responsible AI practices and scalable data engineering, ready to support Ofgem’s transformation journey within the DDSS directorate.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SQL, Power BI, Tableau, Data preparation, Feature engineering, Visualisations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Model evaluation, Cross-validation, Predictive modelling, Scikit-learn, TensorFlow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AWS, Oracle Cloud, Snowflake, Data engineering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pytest, Git, Documentation, Responsible AI, Data ethics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data science lifecycle  ·  model explainability  ·  data quality assessment  ·  reproducible analysis  ·  statistical methods  ·  stakeholder communication  ·  agile delivery  ·  data governance  ·  analytical solutions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data, identifying critical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an end-to-end Python pipeline that scrapes ~50 job postings per run, applying data science techniques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that iterates AI-tailored outputs until clearing an 85% ATS match threshold, ensuring robust and reproducible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quality checks and production reliability measures, including 121 automated unit tests using pytest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analytical product on Oracle Cloud, ensuring maintainable code and continuous availability for end-users.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complex, messy NHS England A&amp;E performance data (Aug 2010 – Mar 2026) to provide evidence for long-term policy-relevant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perform data preparation and quality assessment,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breach risk (0.90–0.95 ROC-AUC), identifying key features like rolling 3-month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findings through an interactive Chart.js dashboard, translating complex statistical outputs into actionable visualisations for non-technical audiences.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machine learning solution for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feature engineering and data augmentation to address brightness variation, ensuring the model remains robust against inconsistent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model assumptions, limitations, and risks using GridSearchCV and cross-validation to ensure the solution met academic standards for reproducibility.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to stakeholders, explaining the strengths and limitations of the chosen deep learning architecture.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