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specializing in production-ready AI systems, agentic LLM pipelines, and MLOps lifecycle automation. Expert in Python-based software engineering, delivering scalable models from experimentation to deployment using Databricks, MLflow, and Airflow-style orchestration. Proven track record of building robust monitoring, multi-model failover, and automated quality-gate loops for high-availability applications. Delivered a 24/7 production LLM pipeline featuring 121 automated tests and a 98.84% accuracy wildfire detection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Databricks, MLflow, Airflow, TensorFlow, Keras, Scikit-learn, CNNs (DenseNet),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RAG frameworks, agentic pipelines, Google Gemini API, prompt engineering, multi-model failover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CI/CD, pytest, Oracle Cloud,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production-ready ML pipelines  ·  MLOps lifecycle automation  ·  Databricks/MLflow/Airflow workflows  ·  RAG and agentic AI patterns  ·  automated unit testing  ·  CI/CD pipeline integration  ·  model drift and reliability monitoring  ·  responsible AI practices  ·  financial data analysis  ·  predictive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LLM pipeline with 121 automated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(+16% vs baseline) on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financial/performance data with 0.95 ROC-AUC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resume tailoring to 85% ATS match threshold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production-ready Python pipeline that scrapes ~50 job postings per run, utilizing Google Gemini LLMs to score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quality-gate loop that iterates AI-tailored resumes to ensure they consistently clear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standards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high-reliability code with 121 automated unit tests using pytest and deployed 24/7 on an Oracle Cloud VM with CI/CD-style deployment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foundational knowledge in RAG and orchestration patterns to automate complex multi-step AI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drivers behind 4-hour target breaches in a highly regulated public sector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 —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applying feature engineering techniques transferable to financial risk modelling.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providing actionable insights into system reliability and operational health.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ensure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evaluation, mirroring the rigorous testing and governance standards required for production ML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findings to academic stakeholders, focusing on model explainability.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