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Science, specialising in the full machine learning lifecycle and production-ready Generative AI. Expert in building agentic LLM pipelines, Retrieval-Augmented Generation (RAG) solutions, and scalable data infrastructure using Python, TensorFlow, and cloud platforms. Successfully delivered high-impact projects including a 98.84% accurate wildfire detection system and NHS performance analytics. Proven ability to deploy 24/7 production systems with 121 automated tests, achieving a 98.84% accuracy rate in deep learning applications.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Scikit-learn, CNNs (DenseNet), model evaluation, cross-validation, PyTorch</w:t>
      </w:r>
    </w:p>
    <w:p>
      <w:pPr>
        <w:spacing w:before="0" w:after="20"/>
      </w:pPr>
      <w:r>
        <w:rPr>
          <w:b/>
        </w:rPr>
        <w:t xml:space="preserve">GenAI &amp; LLMs: </w:t>
      </w:r>
      <w:r>
        <w:t>Generative AI, LLMs, Retrieval-Augmented Generation (RAG), Google Gemini API, agentic pipelines, prompt engineering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JavaScript/TypeScript, R, Java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Snowflake, Vercel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Chart.js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Retrieval-Augmented Generation (RAG)  ·  production-ready systems  ·  machine learning lifecycle  ·  data pipelines  ·  model deployment  ·  statistical analysis  ·  data visualisation  ·  Agile teams  ·  large datasets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accuracy in wildfire detection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production reliability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months of NHS data analysed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–0.95 ROC-AUC model performance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end-to-end Python pipeline that scrapes ~50 job postings per run, integrating Retrieval-Augmented Generation (RAG) to score and auto-tailor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resumes, iterating until clearing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production-ready data pipelines featuring rate-limiting, exponential-backoff retries, and multi-model failover to support 24/7 cloud-hosted operations.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using pytest to validate system reliability and model accuracy within an Oracle Cloud VM environment.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large datasets from NHS England (2010–2026) to extract insights into 4-hour waiting time target breaches using advanced SQL window functions.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risk, achieving 0.90–0.95 ROC-AUC and identifying key predictive features for model optimisation.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interactive Chart.js dashboard visualising performance trends, seasonality heatmaps, and 12-hour waiter spikes for stakeholder engagement.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Evaluated model performance using statistical analysis, revealing the NHS met its 95% target in only 55 of 188 months (29% of the time).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wildfire detection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model performance by +16% over baseline architectures through rigorous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the robustness of the deep learning pipeline before presenting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