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 Distinction-grade MSc in Computer Science, specialising in building production-grade machine learning systems for large-scale discovery and ranking. Expert in deploying models to real-time environments, implementing MLOps pipelines, and leveraging GPU-accelerated training for high-performance deep learning. Proven track record of delivering high-accuracy predictive models, including a 98.84% accurate wildfire detection system, and automating complex workflows that process 50+ data points per run.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recommender systems, ranking models, GPU training, distributed systems, TensorFlow, Scikit-learn, Keras, CNNs (DenseNet)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Azure, Snowflake, AWS S3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data modelling</w:t>
      </w:r>
    </w:p>
    <w:p>
      <w:pPr>
        <w:spacing w:before="0" w:after="20"/>
      </w:pPr>
      <w:r>
        <w:rPr>
          <w:b/>
        </w:rPr>
        <w:t xml:space="preserve">Tools &amp; Methods: </w:t>
      </w:r>
      <w:r>
        <w:t>CI/CD, containerisation, monitoring,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production-grade machine learning systems  ·  recommender systems  ·  ranking models  ·  large-scale system architecture  ·  distributed systems  ·  GPU-accelerated training  ·  real-time environments  ·  model deployment  ·  MLOps  ·  data modelling  ·  performance monitoring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image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with 121 automated tests, maintaining 24/7 uptime on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critical performance drivers in 188 months of NHS data, predicting breach risk with 0.90–0.95 ROC-AUC.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TensorFlow and Keras.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 production-grade machine learning system that automates resume tailoring, achieving an 85% ATS match threshold through an agentic quality-gate loop.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models into a 24/7 real-time environment on an Oracle Cloud VM, ensuring scalability and reliability through multi-model failover and exponential-backoff retries.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system performance within the production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data-driven pipeline that scrapes ~50 job postings per run, applying prompt engineering to rank and surface the most relevant opportunities.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achieving 0.90–0.95 ROC-AUC by monitoring behavioural signals and historical performance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complex datasets spanning 188 months of NHS England A&amp;E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perform data modelling and classify performance status, revealing that the 95% target was met in only 55 of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KPIs and seasonality heatmaps to visualize performance metrics and support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image classification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over baseline architectures by applying GridSearchCV, cross-validation, and data augmentation to address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Multi-Scale Retinex preprocessing to enhance model robustness against brightness variation in real-world image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Foundation in GPU-accelerated training and distributed systems concepts applied to high-resolution image processing workflows.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