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an MSc in Computer Science and a proven track record of deploying production-grade ML systems. Expert in building end-to-end pipelines using Python, TensorFlow, and PyTorch foundations to deliver high-accuracy models. Successfully engineered agentic LLM pipelines and deep learning architectures with 98.84% accuracy, managing the full model lifecycle from experimentation to 24/7 deployment. Delivered a 0.95 ROC-AUC breach risk model, demonstrating the ability to translate complex research into live, measurable production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PyTorch, Keras, Scikit-learn, Reinforcement Learning, CNNs (DenseNet),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Chart.js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MLflow, Weights &amp; Biases, pytest, agentic pipelines, web scraping,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ML systems  ·  full model lifecycle  ·  ML pipelines  ·  Reinforcement Learning (foundational)  ·  experiment tracking (MLflow/W&amp;B)  ·  financial time-series data  ·  feature engineering  ·  containerised deployments  ·  cloud platforms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 time-series data to identify drivers of NHS performance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achieving 0.90–0.95 ROC-AUC.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 and rank matches with 85% ATS precision.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model outputs until clearing an 85% ATS match threshold, ensuring high-quality production-ready content.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robust ML pipelines by implementing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reliability through 121 automated unit tests using pytest and deployed 24/7 on an Oracle Cloud VM.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experiment tracking principles (MLflow/W&amp;B) to monitor model performance and iteration history during the development of the agentic pipeline.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complex financial-style time-series data to investigate long-term performance trends and breach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perform feature engineering,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prediction, achieving 0.90–0.95 ROC-AUC through rigorous model evaluation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performance trends, seasonality heatmaps, and 12-hour waiter spikes (141× the March 2019 level) to visualize model behavior.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Reinforcement Learning concepts to model sequential decision-making processes within the context of patient flow and resource allocation.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trained a DenseNet-based CNN for production-grade image classification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the full model lifecycle including GridSearchCV and cross-validation to ensure robustness before presenting findings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PyTorch-compatible architectural patterns to enhance model flexibility and maintainability within the deep learning pipeline.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