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June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Data Analyst position at Ibrahim and Ray Tech Ltd. Having recently completed my MSc in Computer Science, I have focused my professional development on the exact technical requirements of this role: data modeling, root-cause analysis, and the creation of automated dashboards to drive retail performance.</w:t>
      </w:r>
    </w:p>
    <w:p>
      <w:pPr>
        <w:spacing w:before="0" w:after="160" w:line="276" w:lineRule="auto"/>
      </w:pPr>
      <w:r>
        <w:rPr>
          <w:sz w:val="21"/>
        </w:rPr>
        <w:t>In my recent projects, I have utilized SQL and Python to extract and clean complex datasets, mirroring the operational data challenges faced by e-commerce platforms. I have successfully built production-grade pipelines that process large volumes of data, achieving a 98.84% accuracy rate in predictive modeling. My work consistently focuses on translating these technical outputs into actionable insights that support strategic decision-making, specifically regarding inventory control and system efficiency.</w:t>
      </w:r>
    </w:p>
    <w:p>
      <w:pPr>
        <w:spacing w:before="0" w:after="160" w:line="276" w:lineRule="auto"/>
      </w:pPr>
      <w:r>
        <w:rPr>
          <w:sz w:val="21"/>
        </w:rPr>
        <w:t>Beyond my technical proficiency in Power BI, Tableau, and Advanced Excel, I bring a global perspective to the team. I am fluent in English, French, Urdu, and Hindi, which allows me to communicate effectively across diverse business channels. I am eager to bring my experience in agentic AI workflows and rigorous data integrity practices to your Didcot premises to help maintain the high standards of your IT infrastructure.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available to discuss how my background in data analysis and my commitment to operational excellence can support the continued growth of Ibrahim and Ray Tech Ltd.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