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23 July 2026</w:t>
      </w:r>
    </w:p>
    <w:p>
      <w:pPr>
        <w:spacing w:before="0" w:after="160" w:line="276" w:lineRule="auto"/>
      </w:pPr>
      <w:r>
        <w:rPr>
          <w:sz w:val="21"/>
        </w:rPr>
        <w:t>Dear Okta Resourcing team,</w:t>
      </w:r>
    </w:p>
    <w:p>
      <w:pPr>
        <w:spacing w:before="0" w:after="160" w:line="276" w:lineRule="auto"/>
      </w:pPr>
      <w:r>
        <w:rPr>
          <w:sz w:val="21"/>
        </w:rPr>
        <w:t>Your focus on building real-world AI products within the healthcare and life sciences sector resonates with my background in developing production-grade machine learning and NLP solutions. I am particularly drawn to your mission of leveraging generative AI to drive meaningful clinical and operational impact, as I have spent the last year building tools that bridge the gap between complex data and actionable outcomes.</w:t>
      </w:r>
    </w:p>
    <w:p>
      <w:pPr>
        <w:spacing w:before="0" w:after="160" w:line="276" w:lineRule="auto"/>
      </w:pPr>
      <w:r>
        <w:rPr>
          <w:sz w:val="21"/>
        </w:rPr>
        <w:t>In my recent work, I developed an agentic LLM pipeline that utilizes Google Gemini to automate and optimize document generation, ensuring high-quality outputs through iterative quality-gate loops and 121 automated unit tests. This project required a deep understanding of prompt engineering and production reliability, including multi-model failover and cloud deployment on Oracle Cloud. I am confident that my ability to build scalable, end-to-end AI frameworks will allow me to contribute immediately to your team’s innovation goals.</w:t>
      </w:r>
    </w:p>
    <w:p>
      <w:pPr>
        <w:spacing w:before="0" w:after="160" w:line="276" w:lineRule="auto"/>
      </w:pPr>
      <w:r>
        <w:rPr>
          <w:sz w:val="21"/>
        </w:rPr>
        <w:t>Beyond GenAI, I have a strong foundation in predictive modeling and data engineering. For my NHS performance analysis project, I utilized advanced SQL window functions and Random Forest classifiers to identify critical drivers of healthcare service breaches. By achieving a 0.90–0.95 ROC-AUC, I demonstrated my ability to translate raw, unstructured healthcare data into clear, visual insights that inform decision-making. I am eager to bring this same rigor to your team’s data science initiatives.</w:t>
      </w:r>
    </w:p>
    <w:p>
      <w:pPr>
        <w:spacing w:before="0" w:after="160" w:line="276" w:lineRule="auto"/>
      </w:pPr>
      <w:r>
        <w:rPr>
          <w:sz w:val="21"/>
        </w:rPr>
        <w:t>I would appreciate the chance to learn more about the specific challenges your Medical Analytics &amp; Innovation team is currently tackling. Are you available for a brief conversation next week to discuss how my technical skills in Python, SQL, and ML deployment could support your upcoming projects?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