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July 2026</w:t>
      </w:r>
    </w:p>
    <w:p>
      <w:pPr>
        <w:spacing w:before="0" w:after="160" w:line="276" w:lineRule="auto"/>
      </w:pPr>
      <w:r>
        <w:rPr>
          <w:sz w:val="21"/>
        </w:rPr>
        <w:t>Dear ace team,</w:t>
      </w:r>
    </w:p>
    <w:p>
      <w:pPr>
        <w:spacing w:before="0" w:after="160" w:line="276" w:lineRule="auto"/>
      </w:pPr>
      <w:r>
        <w:rPr>
          <w:sz w:val="21"/>
        </w:rPr>
        <w:t>Your work as a post-digital advisory partner for financial institutions stands out for its focus on delivering production-grade outcomes in regulated environments. I am particularly drawn to your mission of combining deep technical expertise with practical governance, and I am eager to apply my background in data science and cloud infrastructure to support your upcoming advisory engagements.</w:t>
      </w:r>
    </w:p>
    <w:p>
      <w:pPr>
        <w:spacing w:before="0" w:after="160" w:line="276" w:lineRule="auto"/>
      </w:pPr>
      <w:r>
        <w:rPr>
          <w:sz w:val="21"/>
        </w:rPr>
        <w:t>During my recent analysis of NHS A&amp;E performance, I moved beyond simple data processing to map 188 months of complex data flows and system dependencies. By utilizing advanced SQL window functions and CTEs, I translated raw performance data into a series of executive-level dashboards that identified the specific drivers of 4-hour target breaches. This experience taught me how to bridge the gap between technical data structures and the strategic needs of stakeholders—a skill I am ready to deploy at ace to support your current-state discovery and architecture mapping requirements.</w:t>
      </w:r>
    </w:p>
    <w:p>
      <w:pPr>
        <w:spacing w:before="0" w:after="160" w:line="276" w:lineRule="auto"/>
      </w:pPr>
      <w:r>
        <w:rPr>
          <w:sz w:val="21"/>
        </w:rPr>
        <w:t>My technical foundation includes extensive work with Snowflake, Python, and cloud platforms, complemented by a rigorous approach to testing and documentation. Whether I am designing API integrations or contributing to technology strategy documents, I prioritize clarity, structure, and professional output. I am comfortable operating in fast-moving environments and am prepared to engage directly with senior stakeholders to translate technical findings into actionable recommendations.</w:t>
      </w:r>
    </w:p>
    <w:p>
      <w:pPr>
        <w:spacing w:before="0" w:after="160" w:line="276" w:lineRule="auto"/>
      </w:pPr>
      <w:r>
        <w:rPr>
          <w:sz w:val="21"/>
        </w:rPr>
        <w:t>I am based in London and available for an immediate start. I would appreciate the chance to discuss how my experience with data modelling and stakeholder communication can contribute to the growth of your advisory practice.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