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The transition to a sustainable energy future requires not just ambition, but the precise application of data-driven digital solutions. GreenPowerMonitor’s work in optimizing renewable energy installations through the Horizon platform is a perfect intersection of my technical background and my desire to solve real-world operational challenges. I am writing to apply for the ML Engineer – Generative AI role, as I am eager to apply my experience in building production-grade AI agents to your energy systems.</w:t>
      </w:r>
    </w:p>
    <w:p>
      <w:pPr>
        <w:spacing w:before="0" w:after="160" w:line="276" w:lineRule="auto"/>
      </w:pPr>
      <w:r>
        <w:rPr>
          <w:sz w:val="21"/>
        </w:rPr>
        <w:t>During my MSc in Computer Science, I focused on bridging the gap between experimental ML and production-ready systems. I recently built an end-to-end agentic LLM platform that processes 50+ job postings per run, utilizing RAG pipelines and multi-model failover to maintain high performance. By containerizing this system with Docker and managing it via Kubernetes, I ensured 24/7 reliability. My work on the NHS A&amp;E performance project further sharpened my ability to extract actionable insights from complex, large-scale operational datasets, a skill I am ready to apply to your renewable energy metadata.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opportunity to embed AI assistants directly into Horizon. I have hands-on experience with fine-tuning Transformer architectures and optimizing prompts to mitigate hallucinations, ensuring that AI outputs are grounded in accurate, technical information. I thrive in collaborative environments where I can explain complex AI concepts to both technical and non-technical stakeholders, ensuring that the tools we build are not just intelligent, but truly useful for the professionals managing our global energy mix.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DNV’s mission and would welcome the opportunity to demonstrate the AI agent I have developed during the interview process.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