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July 2026</w:t>
      </w:r>
    </w:p>
    <w:p>
      <w:pPr>
        <w:spacing w:before="0" w:after="160" w:line="276" w:lineRule="auto"/>
      </w:pPr>
      <w:r>
        <w:rPr>
          <w:sz w:val="21"/>
        </w:rPr>
        <w:t>Dear RSM UK team,</w:t>
      </w:r>
    </w:p>
    <w:p>
      <w:pPr>
        <w:spacing w:before="0" w:after="160" w:line="276" w:lineRule="auto"/>
      </w:pPr>
      <w:r>
        <w:rPr>
          <w:sz w:val="21"/>
        </w:rPr>
        <w:t>RSM’s mission to become the premium adviser to the middle market through innovative tax technology is exactly the kind of environment where I want to make an impact. Your focus on building specialist AI engineering capabilities—specifically through agentic workflows and automated integrations—resonates with my own engineering philosophy of balancing experimentation with production-grade discipline.</w:t>
      </w:r>
    </w:p>
    <w:p>
      <w:pPr>
        <w:spacing w:before="0" w:after="160" w:line="276" w:lineRule="auto"/>
      </w:pPr>
      <w:r>
        <w:rPr>
          <w:sz w:val="21"/>
        </w:rPr>
        <w:t>In my recent work, I built an end-to-end agentic LLM pipeline that functions as a 24/7 automated service. By implementing multi-model failover, rate-limiting, and a quality-gate loop that iterates outputs to meet an 85% ATS match threshold, I have developed a deep understanding of how to build reliable, observable systems. I am comfortable working across the full stack, from Python-based service development and API integration to deploying robust, test-driven solutions that solve real-world inefficiencies.</w:t>
      </w:r>
    </w:p>
    <w:p>
      <w:pPr>
        <w:spacing w:before="0" w:after="160" w:line="276" w:lineRule="auto"/>
      </w:pPr>
      <w:r>
        <w:rPr>
          <w:sz w:val="21"/>
        </w:rPr>
        <w:t>Beyond my technical work in GenAI, I have a strong foundation in data-driven problem solving, demonstrated by my analysis of 188 months of NHS performance data. Using advanced SQL and Random Forest classification, I translated complex, high-throughput datasets into actionable insights. I am eager to apply this same rigour to RSM’s internal tax platforms, contributing to your engineering standards while helping your teams adopt AI tools that drive genuine operational value.</w:t>
      </w:r>
    </w:p>
    <w:p>
      <w:pPr>
        <w:spacing w:before="0" w:after="160" w:line="276" w:lineRule="auto"/>
      </w:pPr>
      <w:r>
        <w:rPr>
          <w:sz w:val="21"/>
        </w:rPr>
        <w:t>I am excited about the possibility of contributing to your dynamic Tax Technology team and would welcome the chance to discuss how my skills in automation and system design can support your upcoming projects.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