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July 2026</w:t>
      </w:r>
    </w:p>
    <w:p>
      <w:pPr>
        <w:spacing w:before="0" w:after="160" w:line="276" w:lineRule="auto"/>
      </w:pPr>
      <w:r>
        <w:rPr>
          <w:sz w:val="21"/>
        </w:rPr>
        <w:t>Dear M3 MR team,</w:t>
      </w:r>
    </w:p>
    <w:p>
      <w:pPr>
        <w:spacing w:before="0" w:after="160" w:line="276" w:lineRule="auto"/>
      </w:pPr>
      <w:r>
        <w:rPr>
          <w:sz w:val="21"/>
        </w:rPr>
        <w:t>Your commitment to delivering decision-ready insights for the global healthcare industry, backed by ISO 20252 and 27001 standards, sets a benchmark for quality in market research. I am writing to apply for the Data Scientist – Decision Science &amp; Modelling position, as I am eager to apply my experience in statistical modelling and predictive analytics to your complex research challenges.</w:t>
      </w:r>
    </w:p>
    <w:p>
      <w:pPr>
        <w:spacing w:before="0" w:after="160" w:line="276" w:lineRule="auto"/>
      </w:pPr>
      <w:r>
        <w:rPr>
          <w:sz w:val="21"/>
        </w:rPr>
        <w:t>In my recent work analyzing 188 months of NHS A&amp;E performance data, I faced the challenge of working with imperfect, evolving datasets to identify the drivers of long-term target breaches. By utilizing advanced SQL window functions and building a Random Forest classifier that achieved 0.95 ROC-AUC, I translated a complex, loosely defined problem into a practical decision-support tool. This experience taught me how to quantify uncertainty and communicate technical findings to non-technical stakeholders, a skill set I am ready to bring to M3 MR’s global research operations.</w:t>
      </w:r>
    </w:p>
    <w:p>
      <w:pPr>
        <w:spacing w:before="0" w:after="160" w:line="276" w:lineRule="auto"/>
      </w:pPr>
      <w:r>
        <w:rPr>
          <w:sz w:val="21"/>
        </w:rPr>
        <w:t>My technical approach is rooted in rigour and reproducibility. Whether I am optimizing wildfire detection systems with DenseNet or building agentic LLM pipelines with multi-model failover, I prioritize selecting the most appropriate modelling approach for the specific problem at hand. I am particularly drawn to M3’s focus on building analytical assets that serve as reusable operational capabilities, and I am confident that my ability to bridge the gap between prototype development and scalable analytical solutions will provide immediate value to your team.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background in applied statistics and experimental design can contribute to the high-quality insights M3 MR delivers to its pharmaceutical and biotech partners.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