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Zaizi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Machine Learning Engineer role. Having closely followed Zaizi’s mission to deliver mission-critical AI capabilities for the UK government, I am drawn to your culture of rapid prototyping and democratic, inclusive problem-solving. My background in building production-grade agentic pipelines and deep learning systems aligns directly with your need for engineers who can bridge the gap between research and practical, real-world application.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utilizes Google Gemini to automate complex tasks, incorporating a quality-gate loop that ensures an 85% ATS-match threshold. This project required not only Python proficiency but also a deep understanding of model reliability, failover strategies, and automated testing—skills I am eager to apply to your public sector projects. Furthermore, my MSc research in wildfire detection, which achieved 98.84% accuracy, demonstrates my ability to conduct rigorous model evaluation and translate academic research into high-performance solutions.</w:t>
      </w:r>
    </w:p>
    <w:p>
      <w:pPr>
        <w:spacing w:before="0" w:after="160" w:line="276" w:lineRule="auto"/>
      </w:pPr>
      <w:r>
        <w:rPr>
          <w:sz w:val="21"/>
        </w:rPr>
        <w:t>Beyond my technical work in machine learning, I have a strong foundation in software engineering, including cloud deployment on Oracle Cloud and AWS, and frontend development with Next.js. I am a UK resident of over 5 years and am fully prepared to undergo the necessary security clearance to contribute to your government-facing work. I thrive in environments that prioritize continuous learning and am excited by the prospect of working within a small, high-performing team to tackle the UK's most pressing digital infrastructure challenges.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with generative AI and classical ML models can support Zaizi’s upcoming initiatives.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