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M3 MR team,</w:t>
      </w:r>
    </w:p>
    <w:p>
      <w:pPr>
        <w:spacing w:before="0" w:after="160" w:line="276" w:lineRule="auto"/>
      </w:pPr>
      <w:r>
        <w:rPr>
          <w:sz w:val="21"/>
        </w:rPr>
        <w:t>Your work in providing high-quality, compliant healthcare market research insights at scale is a compelling challenge, particularly given the complexity of the global healthcare landscape. I am writing to apply for the Data Scientist – Decision Science &amp; Modelling role, as my experience in building predictive models for NHS performance data directly mirrors the analytical rigour required to support M3’s research lifecycle.</w:t>
      </w:r>
    </w:p>
    <w:p>
      <w:pPr>
        <w:spacing w:before="0" w:after="160" w:line="276" w:lineRule="auto"/>
      </w:pPr>
      <w:r>
        <w:rPr>
          <w:sz w:val="21"/>
        </w:rPr>
        <w:t>In my recent work, I developed a Random Forest classifier that achieved a 0.90–0.95 ROC-AUC, successfully predicting monthly breach risks within NHS A&amp;E services. This project required me to translate loosely defined performance data into a tractable modelling problem, working with imperfect datasets to identify the drivers of long-term service collapse. By utilizing advanced SQL window functions and rigorous back-testing, I provided clear, evidence-based insights that could inform operational decision-making—a core requirement for the M3 MR team.</w:t>
      </w:r>
    </w:p>
    <w:p>
      <w:pPr>
        <w:spacing w:before="0" w:after="160" w:line="276" w:lineRule="auto"/>
      </w:pPr>
      <w:r>
        <w:rPr>
          <w:sz w:val="21"/>
        </w:rPr>
        <w:t>Beyond statistical modelling, I have focused on the productisation of analytical solutions. My development of an agentic LLM pipeline, which includes automated quality-gate loops and multi-model failover, demonstrates my ability to partner with engineering teams to move prototypes into reliable, operational environments. I am comfortable working with uncertainty and designing models that are not just theoretically sound, but practically deployable for commercial use.</w:t>
      </w:r>
    </w:p>
    <w:p>
      <w:pPr>
        <w:spacing w:before="0" w:after="160" w:line="276" w:lineRule="auto"/>
      </w:pPr>
      <w:r>
        <w:rPr>
          <w:sz w:val="21"/>
        </w:rPr>
        <w:t>I am particularly drawn to M3’s commitment to ISO-certified data quality and respondent integrity. I am confident that my background in applied statistics and my ability to communicate complex findings to non-technical stakeholders will allow me to contribute immediately to your decision-support initiatives. I would appreciate the chance to discuss how my technical skills can help M3 MR continue to deliver trusted insights to your global partners.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