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Associate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and Associate Software Engineer candidate specializing in agentic AI pipelines and production-ready software development. Engineered a 24/7 production LLM pipeline with 121 automated tests, achieving an 85% ATS-match threshold for automated job application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Software Engineering: </w:t>
      </w:r>
      <w:r>
        <w:t>Python, TypeScript, Next.js, React, pytest, Agile</w:t>
      </w:r>
    </w:p>
    <w:p>
      <w:pPr>
        <w:spacing w:before="0" w:after="20"/>
      </w:pPr>
      <w:r>
        <w:rPr>
          <w:b/>
        </w:rPr>
        <w:t xml:space="preserve">AI &amp; Data Engineering: </w:t>
      </w:r>
      <w:r>
        <w:t>Agentic pipelines, Google Gemini API, LLM API integration, SQL, Pandas, Data modelling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Oracle Cloud, AWS S3, Vercel,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LLM pipeline on an Oracle Cloud VM, ensuring reliability through multi-model failover and exponential-backoff retries.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production-ready code quality for the end-to-end Python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responsive Next.js and Tailwind CSS dashboard on Vercel to monitor the scraping of ~50 job postings per run across LinkedIn and Indeed.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data using advanced SQL window functions (LAG, AVG OVER) and CTEs to classify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in Scikit-learn to predict monthly breach risk with 0.90–0.95 ROC-AUC, identifying seasonality as a key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achieving 98.84% accuracy on 2,700+ high-resolution images,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DenseNet hyperparameters for robust wildfire detection.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large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