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mapping business processes to AI-enabled workflows and deploying agentic automation pipelines. Proven ability to bridge the gap between business stakeholders and technical implementation by translating manual operational bottlenecks into structured, AI-supported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Automation: </w:t>
      </w:r>
      <w:r>
        <w:t>Agentic pipelines, Workflow orchestration, LLM API integration, Prompt engineering, Python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Data modelling, Predictive modelling, Pandas, Power BI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API integration, Oracle Cloud, AWS, Next.js,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