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Graduate Software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with a strong foundation in software engineering, focusing on building scalable, clean, and maintainable codebases. Experienced in collaborating on complex technical projects to deliver robust, data-driven solutions that meet enterprise performance and efficiency standards.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Technical Proficiency: </w:t>
      </w:r>
      <w:r>
        <w:t>Python, SQL, TypeScript, Next.js, React, Node.js, pytest, TensorFlow, Scikit-learn, Pandas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Optimised SQL query performance using window functions and CTEs to process 188 months of historical data, reducing manual reporting time and providing actionable insights into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 Random Forest classifier to predict monthly breach risk with 0.90–0.95 ROC-AUC, enabling stakeholders to identify high-risk periods and allocate resources more efficiently.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interactive Chart.js dashboard to visualise compliance trends and seasonality, directly supporting data-driven decision-making for operational efficiency.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Architected an end-to-end ML pipeline using DenseNet-based CNNs on 2,700+ images, achieving 98.84% accuracy and a 16% performance gain over baseline models.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robust preprocessing techniques, including Multi-Scale Retinex and data augmentation, to ensure model reliability across varying environmental conditions.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maintain high model generalisation and code quality standards.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Constructed interactive Power BI dashboards using DAX and advanced data modelling to surface KPIs for academic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adhering to best practices in feature engineering and model selection.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